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7D" w:rsidRDefault="00073E7D" w:rsidP="00F375C2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aps/>
          <w:color w:val="233E76"/>
          <w:kern w:val="36"/>
          <w:sz w:val="48"/>
          <w:szCs w:val="48"/>
          <w:lang w:eastAsia="en-GB"/>
        </w:rPr>
      </w:pPr>
    </w:p>
    <w:p w:rsidR="00D82DF2" w:rsidRPr="001E5939" w:rsidRDefault="00D82DF2" w:rsidP="00F375C2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en-GB"/>
        </w:rPr>
      </w:pPr>
      <w:r w:rsidRPr="001E5939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en-GB"/>
        </w:rPr>
        <w:t>16-19 TUITION FUND STATEMENT</w:t>
      </w:r>
    </w:p>
    <w:p w:rsidR="00073E7D" w:rsidRDefault="00073E7D" w:rsidP="00073E7D">
      <w:pPr>
        <w:shd w:val="clear" w:color="auto" w:fill="FFFFFF"/>
        <w:jc w:val="both"/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</w:pPr>
      <w:bookmarkStart w:id="0" w:name="_GoBack"/>
      <w:bookmarkEnd w:id="0"/>
    </w:p>
    <w:p w:rsidR="00D82DF2" w:rsidRDefault="00D82DF2" w:rsidP="00073E7D">
      <w:pPr>
        <w:shd w:val="clear" w:color="auto" w:fill="FFFFFF"/>
        <w:jc w:val="both"/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  <w:t xml:space="preserve">Inspire Education Group </w:t>
      </w:r>
      <w:r w:rsidRPr="00D82DF2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  <w:t>statement on how it is using the 16-19 Tuition Fund from September 2021</w:t>
      </w:r>
    </w:p>
    <w:p w:rsidR="00073E7D" w:rsidRPr="00D82DF2" w:rsidRDefault="00073E7D" w:rsidP="00073E7D">
      <w:pPr>
        <w:shd w:val="clear" w:color="auto" w:fill="FFFFFF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en-GB"/>
        </w:rPr>
      </w:pPr>
    </w:p>
    <w:p w:rsidR="00D82DF2" w:rsidRDefault="00D82DF2" w:rsidP="00073E7D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The ESFA has made funding available to colleges to support students who have had their learning affected by the Coronavirus pandemic. The Tuition Fund is ring-fenced for schools, colleges and all other 16 to 19 providers to mitigate the disruption to learning arising from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C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oronavirus.</w:t>
      </w:r>
    </w:p>
    <w:p w:rsidR="00073E7D" w:rsidRPr="00FE772E" w:rsidRDefault="00073E7D" w:rsidP="00073E7D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</w:p>
    <w:p w:rsidR="00D82DF2" w:rsidRDefault="00D82DF2" w:rsidP="00073E7D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The funding can be used to provide small group tuition for 16-19-year olds on a study programme where their learning has been disrupted and they have a GCSE </w:t>
      </w:r>
      <w:r w:rsidR="00F375C2">
        <w:rPr>
          <w:rFonts w:ascii="Montserrat" w:eastAsia="Times New Roman" w:hAnsi="Montserrat" w:cs="Times New Roman"/>
          <w:sz w:val="24"/>
          <w:szCs w:val="24"/>
          <w:lang w:eastAsia="en-GB"/>
        </w:rPr>
        <w:t>m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aths and/or English grade 4 or below at age 16. Although the support is targeted based on prior attainment in maths/English, the funding is not limited to support in these subjects, and will be provided according to need across a variety of subjects. It is also for students who have a grade 4 English and/or maths, are from an economically disadvantaged background and would need catch-up support. These are defined as students from the 27% most economically deprived areas of the country based on the index of multiple deprivation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.</w:t>
      </w:r>
    </w:p>
    <w:p w:rsidR="00073E7D" w:rsidRPr="00FE772E" w:rsidRDefault="00073E7D" w:rsidP="00073E7D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</w:p>
    <w:p w:rsidR="00D82DF2" w:rsidRDefault="00D82DF2" w:rsidP="00073E7D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Support is being prioritised where students will benefit most from small group tuition, and particular regard is being given to the requirements of disadvantaged students and students with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S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pecial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E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ducational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N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eeds and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D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isabilities (SEND).</w:t>
      </w:r>
    </w:p>
    <w:p w:rsidR="00073E7D" w:rsidRPr="00FE772E" w:rsidRDefault="00073E7D" w:rsidP="00073E7D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</w:p>
    <w:p w:rsidR="00D82DF2" w:rsidRDefault="00D82DF2" w:rsidP="00073E7D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Inspire Education Group has committed to using the Tuition Fund that the ESFA has made available.</w:t>
      </w:r>
    </w:p>
    <w:p w:rsidR="00073E7D" w:rsidRPr="00FE772E" w:rsidRDefault="00073E7D" w:rsidP="00073E7D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</w:p>
    <w:p w:rsidR="00D82DF2" w:rsidRDefault="00073E7D" w:rsidP="00073E7D">
      <w:pPr>
        <w:shd w:val="clear" w:color="auto" w:fill="FFFFFF"/>
        <w:jc w:val="both"/>
        <w:rPr>
          <w:rStyle w:val="Hyperlink"/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Education Skills Funding Agency </w:t>
      </w:r>
      <w:r>
        <w:rPr>
          <w:rFonts w:ascii="Montserrat" w:eastAsia="Times New Roman" w:hAnsi="Montserrat" w:cs="Times New Roman"/>
          <w:sz w:val="24"/>
          <w:szCs w:val="24"/>
          <w:lang w:eastAsia="en-GB"/>
        </w:rPr>
        <w:t>(</w:t>
      </w:r>
      <w:r w:rsidR="00D82DF2"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ESFA</w:t>
      </w:r>
      <w:r>
        <w:rPr>
          <w:rFonts w:ascii="Montserrat" w:eastAsia="Times New Roman" w:hAnsi="Montserrat" w:cs="Times New Roman"/>
          <w:sz w:val="24"/>
          <w:szCs w:val="24"/>
          <w:lang w:eastAsia="en-GB"/>
        </w:rPr>
        <w:t>)</w:t>
      </w:r>
      <w:r w:rsidR="00D82DF2"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 guidance related to the Tuition Fund is available</w:t>
      </w:r>
      <w:r w:rsidR="00D82DF2" w:rsidRPr="00D82DF2">
        <w:rPr>
          <w:rFonts w:ascii="Montserrat" w:eastAsia="Times New Roman" w:hAnsi="Montserrat" w:cs="Times New Roman"/>
          <w:color w:val="444444"/>
          <w:sz w:val="24"/>
          <w:szCs w:val="24"/>
          <w:lang w:eastAsia="en-GB"/>
        </w:rPr>
        <w:t xml:space="preserve"> </w:t>
      </w:r>
      <w:hyperlink r:id="rId8" w:history="1">
        <w:r w:rsidR="00D82DF2" w:rsidRPr="00D82DF2">
          <w:rPr>
            <w:rStyle w:val="Hyperlink"/>
            <w:rFonts w:ascii="Montserrat" w:eastAsia="Times New Roman" w:hAnsi="Montserrat" w:cs="Times New Roman"/>
            <w:sz w:val="24"/>
            <w:szCs w:val="24"/>
            <w:lang w:eastAsia="en-GB"/>
          </w:rPr>
          <w:t>here.</w:t>
        </w:r>
      </w:hyperlink>
    </w:p>
    <w:p w:rsidR="00073E7D" w:rsidRPr="00D82DF2" w:rsidRDefault="00073E7D" w:rsidP="00073E7D">
      <w:pPr>
        <w:shd w:val="clear" w:color="auto" w:fill="FFFFFF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en-GB"/>
        </w:rPr>
      </w:pPr>
    </w:p>
    <w:p w:rsidR="00D82DF2" w:rsidRDefault="00D82DF2" w:rsidP="00073E7D">
      <w:pPr>
        <w:shd w:val="clear" w:color="auto" w:fill="FFFFFF"/>
        <w:jc w:val="both"/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</w:pPr>
      <w:r w:rsidRPr="00D82DF2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  <w:t>Examples of some of the support that</w:t>
      </w:r>
      <w:r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  <w:t xml:space="preserve"> Inspire Education Group </w:t>
      </w:r>
      <w:r w:rsidRPr="00D82DF2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  <w:t>will be offering are:</w:t>
      </w:r>
    </w:p>
    <w:p w:rsidR="00073E7D" w:rsidRPr="00D82DF2" w:rsidRDefault="00073E7D" w:rsidP="00073E7D">
      <w:pPr>
        <w:shd w:val="clear" w:color="auto" w:fill="FFFFFF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en-GB"/>
        </w:rPr>
      </w:pPr>
    </w:p>
    <w:p w:rsidR="00D82DF2" w:rsidRPr="00FE772E" w:rsidRDefault="00D82DF2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GCSE resit preparation</w:t>
      </w:r>
    </w:p>
    <w:p w:rsidR="00D82DF2" w:rsidRPr="00FE772E" w:rsidRDefault="00D82DF2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Functional skills assessment preparation</w:t>
      </w:r>
    </w:p>
    <w:p w:rsidR="00D82DF2" w:rsidRPr="00FE772E" w:rsidRDefault="00D82DF2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Additional</w:t>
      </w:r>
      <w:r w:rsidR="00FE772E"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 English and math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s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 classes to ensure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student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s are on target</w:t>
      </w:r>
    </w:p>
    <w:p w:rsidR="00D82DF2" w:rsidRPr="00FE772E" w:rsidRDefault="00D82DF2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Support for SEND and High Needs Students</w:t>
      </w:r>
    </w:p>
    <w:p w:rsidR="00D82DF2" w:rsidRPr="00FE772E" w:rsidRDefault="00D82DF2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SEND support to catch up on vocational and academic skills and skills and learning that are import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ant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 for preparation for adulthood</w:t>
      </w:r>
    </w:p>
    <w:p w:rsidR="00D82DF2" w:rsidRPr="00FE772E" w:rsidRDefault="00D82DF2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Vocational support where assessments were deferred</w:t>
      </w:r>
    </w:p>
    <w:p w:rsidR="00073E7D" w:rsidRDefault="00073E7D" w:rsidP="00073E7D">
      <w:pPr>
        <w:shd w:val="clear" w:color="auto" w:fill="FFFFFF"/>
        <w:ind w:left="720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</w:p>
    <w:p w:rsidR="00073E7D" w:rsidRDefault="00073E7D" w:rsidP="00073E7D">
      <w:pPr>
        <w:shd w:val="clear" w:color="auto" w:fill="FFFFFF"/>
        <w:ind w:left="720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</w:p>
    <w:p w:rsidR="00D82DF2" w:rsidRPr="00FE772E" w:rsidRDefault="00D82DF2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Vocational catch-up sessions for knowledge and practical skills development</w:t>
      </w:r>
    </w:p>
    <w:p w:rsidR="00D82DF2" w:rsidRPr="00FE772E" w:rsidRDefault="00D82DF2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1 to 1 study skills sessions to support academic progress.</w:t>
      </w:r>
    </w:p>
    <w:p w:rsidR="00FE772E" w:rsidRPr="00FE772E" w:rsidRDefault="00FE772E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hAnsi="Montserrat"/>
          <w:sz w:val="24"/>
          <w:szCs w:val="24"/>
        </w:rPr>
        <w:t xml:space="preserve">Support wellbeing, mental health and resilience </w:t>
      </w:r>
    </w:p>
    <w:p w:rsidR="00FE772E" w:rsidRPr="00073E7D" w:rsidRDefault="00FE772E" w:rsidP="00073E7D">
      <w:pPr>
        <w:numPr>
          <w:ilvl w:val="0"/>
          <w:numId w:val="1"/>
        </w:numPr>
        <w:shd w:val="clear" w:color="auto" w:fill="FFFFFF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en-GB"/>
        </w:rPr>
      </w:pPr>
      <w:r w:rsidRPr="00FE772E">
        <w:rPr>
          <w:rFonts w:ascii="Montserrat" w:hAnsi="Montserrat"/>
          <w:sz w:val="24"/>
          <w:szCs w:val="24"/>
        </w:rPr>
        <w:t>Additional online support and resources to extend learning outside of the classroom</w:t>
      </w:r>
      <w:r w:rsidR="00073E7D">
        <w:rPr>
          <w:rFonts w:ascii="Montserrat" w:hAnsi="Montserrat"/>
          <w:sz w:val="24"/>
          <w:szCs w:val="24"/>
        </w:rPr>
        <w:t>.</w:t>
      </w:r>
    </w:p>
    <w:p w:rsidR="00073E7D" w:rsidRPr="00FE772E" w:rsidRDefault="00073E7D" w:rsidP="00073E7D">
      <w:pPr>
        <w:shd w:val="clear" w:color="auto" w:fill="FFFFFF"/>
        <w:ind w:left="720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en-GB"/>
        </w:rPr>
      </w:pPr>
    </w:p>
    <w:p w:rsidR="00D82DF2" w:rsidRDefault="00A67040" w:rsidP="00A67040">
      <w:pPr>
        <w:shd w:val="clear" w:color="auto" w:fill="FFFFFF"/>
        <w:jc w:val="both"/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  <w:t>I</w:t>
      </w:r>
      <w:r w:rsidR="00D82DF2" w:rsidRPr="00D82DF2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  <w:t>mplementation</w:t>
      </w:r>
    </w:p>
    <w:p w:rsidR="00A67040" w:rsidRPr="00D82DF2" w:rsidRDefault="00A67040" w:rsidP="00A67040">
      <w:pPr>
        <w:shd w:val="clear" w:color="auto" w:fill="FFFFFF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en-GB"/>
        </w:rPr>
      </w:pPr>
    </w:p>
    <w:p w:rsidR="00D82DF2" w:rsidRDefault="00D82DF2" w:rsidP="00A67040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Inspire Education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G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roup will use the funding as follows:</w:t>
      </w:r>
    </w:p>
    <w:p w:rsidR="00073E7D" w:rsidRPr="00FE772E" w:rsidRDefault="00073E7D" w:rsidP="00A67040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</w:p>
    <w:p w:rsidR="00D82DF2" w:rsidRPr="00FE772E" w:rsidRDefault="00D82DF2" w:rsidP="00A67040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Recruiting a number of tutors and learning support staff across the college to work with students in small groups to support teaching and learning</w:t>
      </w:r>
    </w:p>
    <w:p w:rsidR="00D82DF2" w:rsidRPr="00FE772E" w:rsidRDefault="00D82DF2" w:rsidP="00A67040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Increasing the hours of some existing tutors and learning support staff</w:t>
      </w:r>
    </w:p>
    <w:p w:rsidR="00D82DF2" w:rsidRPr="00FE772E" w:rsidRDefault="00D82DF2" w:rsidP="00A67040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Small groups will contain no more than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five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student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s (or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seven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student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s in exceptional circumstances), with the ambition of having no more than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three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student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s in each group</w:t>
      </w:r>
    </w:p>
    <w:p w:rsidR="00D82DF2" w:rsidRPr="00FE772E" w:rsidRDefault="00D82DF2" w:rsidP="00A67040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Run 1 to 1 or small group sessions in addition to the existing timetabled hours, where appropriate and beneficial to the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student</w:t>
      </w:r>
    </w:p>
    <w:p w:rsidR="00D82DF2" w:rsidRPr="00FE772E" w:rsidRDefault="00D82DF2" w:rsidP="00A67040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Run additional skills development sessions</w:t>
      </w:r>
    </w:p>
    <w:p w:rsidR="00D82DF2" w:rsidRDefault="00D82DF2" w:rsidP="00A67040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Support will be offered and provided based on the individual needs of each student.</w:t>
      </w:r>
    </w:p>
    <w:p w:rsidR="00A67040" w:rsidRPr="00FE772E" w:rsidRDefault="00A67040" w:rsidP="00A67040">
      <w:pPr>
        <w:shd w:val="clear" w:color="auto" w:fill="FFFFFF"/>
        <w:ind w:left="714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</w:p>
    <w:p w:rsidR="00D82DF2" w:rsidRDefault="00D82DF2" w:rsidP="00A67040">
      <w:pPr>
        <w:shd w:val="clear" w:color="auto" w:fill="FFFFFF"/>
        <w:jc w:val="both"/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  <w:t>Inspire Education Group c</w:t>
      </w:r>
      <w:r w:rsidRPr="00D82DF2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en-GB"/>
        </w:rPr>
        <w:t>ommitment</w:t>
      </w:r>
    </w:p>
    <w:p w:rsidR="00A67040" w:rsidRPr="00D82DF2" w:rsidRDefault="00A67040" w:rsidP="00A67040">
      <w:pPr>
        <w:shd w:val="clear" w:color="auto" w:fill="FFFFFF"/>
        <w:jc w:val="both"/>
        <w:rPr>
          <w:rFonts w:ascii="Montserrat" w:eastAsia="Times New Roman" w:hAnsi="Montserrat" w:cs="Times New Roman"/>
          <w:color w:val="444444"/>
          <w:sz w:val="24"/>
          <w:szCs w:val="24"/>
          <w:lang w:eastAsia="en-GB"/>
        </w:rPr>
      </w:pPr>
    </w:p>
    <w:p w:rsidR="00A67040" w:rsidRDefault="00D82DF2" w:rsidP="00A67040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The College group is committed to a no detriment approach to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student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s, to ensure no student is disadvantaged by the circumstances of the COVID-19 pandemic. The group will ensure that the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T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uition </w:t>
      </w:r>
      <w:r w:rsidR="00A67040">
        <w:rPr>
          <w:rFonts w:ascii="Montserrat" w:eastAsia="Times New Roman" w:hAnsi="Montserrat" w:cs="Times New Roman"/>
          <w:sz w:val="24"/>
          <w:szCs w:val="24"/>
          <w:lang w:eastAsia="en-GB"/>
        </w:rPr>
        <w:t>F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und is used in accordance with the Government’s guidance on the 16</w:t>
      </w:r>
      <w:r w:rsidR="00073E7D">
        <w:rPr>
          <w:rFonts w:ascii="Montserrat" w:eastAsia="Times New Roman" w:hAnsi="Montserrat" w:cs="Times New Roman"/>
          <w:sz w:val="24"/>
          <w:szCs w:val="24"/>
          <w:lang w:eastAsia="en-GB"/>
        </w:rPr>
        <w:t>-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19 Tuition Fund by:</w:t>
      </w:r>
    </w:p>
    <w:p w:rsidR="00A67040" w:rsidRPr="00FE772E" w:rsidRDefault="00A67040" w:rsidP="00A67040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</w:p>
    <w:p w:rsidR="00D82DF2" w:rsidRPr="00FE772E" w:rsidRDefault="00D82DF2" w:rsidP="00A67040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Producing this statement setting out how the </w:t>
      </w:r>
      <w:r w:rsidR="00073E7D">
        <w:rPr>
          <w:rFonts w:ascii="Montserrat" w:eastAsia="Times New Roman" w:hAnsi="Montserrat" w:cs="Times New Roman"/>
          <w:sz w:val="24"/>
          <w:szCs w:val="24"/>
          <w:lang w:eastAsia="en-GB"/>
        </w:rPr>
        <w:t>F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und will be used to support the most disadvantaged students</w:t>
      </w:r>
    </w:p>
    <w:p w:rsidR="00D82DF2" w:rsidRPr="00FE772E" w:rsidRDefault="00D82DF2" w:rsidP="00A67040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Publishing this statement on the College website</w:t>
      </w:r>
    </w:p>
    <w:p w:rsidR="00D82DF2" w:rsidRPr="00FE772E" w:rsidRDefault="00D82DF2" w:rsidP="00A67040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 xml:space="preserve">Recording the use of the </w:t>
      </w:r>
      <w:r w:rsidR="00073E7D">
        <w:rPr>
          <w:rFonts w:ascii="Montserrat" w:eastAsia="Times New Roman" w:hAnsi="Montserrat" w:cs="Times New Roman"/>
          <w:sz w:val="24"/>
          <w:szCs w:val="24"/>
          <w:lang w:eastAsia="en-GB"/>
        </w:rPr>
        <w:t>F</w:t>
      </w: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und, including references to individual students who receive support, the needs of those students, the number of hours of tuition delivered and retaining the evidence of the tuition provided</w:t>
      </w:r>
    </w:p>
    <w:p w:rsidR="00D82DF2" w:rsidRPr="00FE772E" w:rsidRDefault="00D82DF2" w:rsidP="00A67040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Delivering the extra tuition and spend the allocated funds in the academic year 2021/22</w:t>
      </w:r>
    </w:p>
    <w:p w:rsidR="00D82DF2" w:rsidRPr="00FE772E" w:rsidRDefault="00D82DF2" w:rsidP="00A67040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Montserrat" w:eastAsia="Times New Roman" w:hAnsi="Montserrat" w:cs="Times New Roman"/>
          <w:sz w:val="24"/>
          <w:szCs w:val="24"/>
          <w:lang w:eastAsia="en-GB"/>
        </w:rPr>
      </w:pPr>
      <w:r w:rsidRPr="00FE772E">
        <w:rPr>
          <w:rFonts w:ascii="Montserrat" w:eastAsia="Times New Roman" w:hAnsi="Montserrat" w:cs="Times New Roman"/>
          <w:sz w:val="24"/>
          <w:szCs w:val="24"/>
          <w:lang w:eastAsia="en-GB"/>
        </w:rPr>
        <w:t>Notifying the ESFA of any underspend from the Fund for it to be reclaimed.</w:t>
      </w:r>
    </w:p>
    <w:p w:rsidR="00C76515" w:rsidRPr="00FE772E" w:rsidRDefault="00C76515" w:rsidP="00F375C2">
      <w:pPr>
        <w:jc w:val="both"/>
        <w:rPr>
          <w:rFonts w:ascii="Montserrat" w:hAnsi="Montserrat"/>
        </w:rPr>
      </w:pPr>
    </w:p>
    <w:sectPr w:rsidR="00C76515" w:rsidRPr="00FE772E" w:rsidSect="00073E7D">
      <w:headerReference w:type="even" r:id="rId9"/>
      <w:headerReference w:type="default" r:id="rId10"/>
      <w:headerReference w:type="first" r:id="rId11"/>
      <w:pgSz w:w="11906" w:h="16838"/>
      <w:pgMar w:top="1985" w:right="964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90" w:rsidRDefault="00435990" w:rsidP="00D82DF2">
      <w:r>
        <w:separator/>
      </w:r>
    </w:p>
  </w:endnote>
  <w:endnote w:type="continuationSeparator" w:id="0">
    <w:p w:rsidR="00435990" w:rsidRDefault="00435990" w:rsidP="00D8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90" w:rsidRDefault="00435990" w:rsidP="00D82DF2">
      <w:r>
        <w:separator/>
      </w:r>
    </w:p>
  </w:footnote>
  <w:footnote w:type="continuationSeparator" w:id="0">
    <w:p w:rsidR="00435990" w:rsidRDefault="00435990" w:rsidP="00D8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F2" w:rsidRDefault="004359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547251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F2" w:rsidRDefault="00073E7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3131820</wp:posOffset>
          </wp:positionH>
          <wp:positionV relativeFrom="margin">
            <wp:posOffset>-647700</wp:posOffset>
          </wp:positionV>
          <wp:extent cx="2725420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4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99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547252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F2" w:rsidRDefault="004359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547250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yriad Pro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D49"/>
    <w:multiLevelType w:val="multilevel"/>
    <w:tmpl w:val="4E6A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05B4B"/>
    <w:multiLevelType w:val="multilevel"/>
    <w:tmpl w:val="3C44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4228E"/>
    <w:multiLevelType w:val="multilevel"/>
    <w:tmpl w:val="CC30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F2"/>
    <w:rsid w:val="00073E7D"/>
    <w:rsid w:val="00130DFB"/>
    <w:rsid w:val="001E5939"/>
    <w:rsid w:val="003225DF"/>
    <w:rsid w:val="00435990"/>
    <w:rsid w:val="00504182"/>
    <w:rsid w:val="00732EBA"/>
    <w:rsid w:val="007578D5"/>
    <w:rsid w:val="009756FB"/>
    <w:rsid w:val="00A67040"/>
    <w:rsid w:val="00B274E7"/>
    <w:rsid w:val="00C76515"/>
    <w:rsid w:val="00D82DF2"/>
    <w:rsid w:val="00EE53BA"/>
    <w:rsid w:val="00F017A4"/>
    <w:rsid w:val="00F375C2"/>
    <w:rsid w:val="00F37A16"/>
    <w:rsid w:val="00F8508F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B721852-5431-4334-90E1-407CF64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D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D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2D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2DF2"/>
    <w:rPr>
      <w:b/>
      <w:bCs/>
    </w:rPr>
  </w:style>
  <w:style w:type="character" w:styleId="Hyperlink">
    <w:name w:val="Hyperlink"/>
    <w:basedOn w:val="DefaultParagraphFont"/>
    <w:uiPriority w:val="99"/>
    <w:unhideWhenUsed/>
    <w:rsid w:val="00D82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D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DF2"/>
  </w:style>
  <w:style w:type="paragraph" w:styleId="Footer">
    <w:name w:val="footer"/>
    <w:basedOn w:val="Normal"/>
    <w:link w:val="FooterChar"/>
    <w:uiPriority w:val="99"/>
    <w:unhideWhenUsed/>
    <w:rsid w:val="00D82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16-to-19-funding-16-to-19-tuition-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3A96-0BEF-437F-A448-040CDC64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Education Group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Sarah Young</cp:lastModifiedBy>
  <cp:revision>2</cp:revision>
  <cp:lastPrinted>2021-09-29T07:20:00Z</cp:lastPrinted>
  <dcterms:created xsi:type="dcterms:W3CDTF">2021-09-29T10:35:00Z</dcterms:created>
  <dcterms:modified xsi:type="dcterms:W3CDTF">2021-09-29T10:35:00Z</dcterms:modified>
</cp:coreProperties>
</file>